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rFonts w:ascii="Calibri" w:hAnsi="Calibri"/>
          <w:b/>
          <w:sz w:val="36"/>
        </w:rPr>
        <w:t>Poučenie o ochrane osobných údajov</w:t>
      </w:r>
    </w:p>
    <w:p>
      <w:r>
        <w:rPr>
          <w:b/>
          <w:sz w:val="28"/>
        </w:rPr>
        <w:t>POUCENIE O OCHRANE OSOBNYCH UDAJOV</w:t>
      </w:r>
    </w:p>
    <w:p>
      <w:r>
        <w:t>Na aký účel budú osobné údaje spracúvané?</w:t>
      </w:r>
    </w:p>
    <w:p>
      <w:r>
        <w:t>Sprostredkovateľ spracúva Vaše osobné údaje v súlade s Nariadením európskeho parlamentu a rady (EÚ) č. 2016/679 a zákonom č. 18/2018 Z. z. Vaše osobné údaje budú spracúvané v rozsahu potrebnom na plnenie povinností Sprostredkovateľa vyplývajúcich zo Dohody. Bez poskytnutia osobných údajov nie je možné plniť povinnosti Sprostredkovateľa, ktoré mu zo zmluvy vyplývajú. Právnym základom spracúvania Vašich údajov bude uzavretá Dohoda.</w:t>
      </w:r>
    </w:p>
    <w:p>
      <w:r>
        <w:t>V súvislosti s hlavným účelom spracovania môžu byť osobné údaje spracúvané aj na ďalšie účely v rozsahu, v akom to od Sprostredkovateľa vyžadujú právne predpisy, najmä v oblasti ochrany pred legalizáciou príjmov z trestnej činnosti alebo v oblasti účtovníctva. V týchto prípadoch je právnym základom spracovanie zákonných povinností Sprostredkovateľa.</w:t>
      </w:r>
    </w:p>
    <w:p>
      <w:r>
        <w:t>Podľa zákona č. 297/2008 Z. z. má Sprostredkovateľ povinnosť spracúvať osobné údaje na účely predchádzania a odhaľovania legalizácie príjmov z trestnej činnosti a financovania terorizmu.</w:t>
      </w:r>
    </w:p>
    <w:p>
      <w:r>
        <w:rPr>
          <w:b/>
          <w:sz w:val="23"/>
        </w:rPr>
        <w:t>Komu môžu byť osobné údaje postúpené?</w:t>
      </w:r>
    </w:p>
    <w:p>
      <w:pPr>
        <w:pStyle w:val="ListBullet"/>
      </w:pPr>
      <w:r>
        <w:t>realitným maklérom Sprostredkovateľa</w:t>
      </w:r>
    </w:p>
    <w:p>
      <w:pPr>
        <w:pStyle w:val="ListBullet"/>
      </w:pPr>
      <w:r>
        <w:t>advokátovi za účelom prípravy alebo posúdenia zmluvnej dokumentácie</w:t>
      </w:r>
    </w:p>
    <w:p>
      <w:pPr>
        <w:pStyle w:val="ListBullet"/>
      </w:pPr>
      <w:r>
        <w:t>notárovi, banke alebo znalcovi v nevyhnutnom rozsahu</w:t>
      </w:r>
    </w:p>
    <w:p>
      <w:pPr>
        <w:pStyle w:val="ListBullet"/>
      </w:pPr>
      <w:r>
        <w:t>finančnému sprostredkovateľovi pri úvere</w:t>
      </w:r>
    </w:p>
    <w:p>
      <w:pPr>
        <w:pStyle w:val="ListBullet"/>
      </w:pPr>
      <w:r>
        <w:t>spolupracujúcej realitnej kancelárii alebo príslušnému okresnému úradu</w:t>
      </w:r>
    </w:p>
    <w:p>
      <w:r>
        <w:rPr>
          <w:b/>
          <w:sz w:val="23"/>
        </w:rPr>
        <w:t>Ako dlho budú osobné údaje uchované?</w:t>
      </w:r>
    </w:p>
    <w:p>
      <w:r>
        <w:t>Údaje budú uchované po dobu vyžadovanú právnymi predpismi alebo potrebnú na uplatnenie zodpovednostných nárokov.</w:t>
      </w:r>
    </w:p>
    <w:p>
      <w:r>
        <w:rPr>
          <w:b/>
          <w:sz w:val="23"/>
        </w:rPr>
        <w:t>Aké máte práva?</w:t>
      </w:r>
    </w:p>
    <w:p>
      <w:pPr>
        <w:pStyle w:val="ListBullet"/>
      </w:pPr>
      <w:r>
        <w:t>právo na prístup k údajom</w:t>
      </w:r>
    </w:p>
    <w:p>
      <w:pPr>
        <w:pStyle w:val="ListBullet"/>
      </w:pPr>
      <w:r>
        <w:t>právo na opravu a doplnenie údajov</w:t>
      </w:r>
    </w:p>
    <w:p>
      <w:pPr>
        <w:pStyle w:val="ListBullet"/>
      </w:pPr>
      <w:r>
        <w:t>právo na prenosnosť údajov, ak sú spracúvané automatizovane</w:t>
      </w:r>
    </w:p>
    <w:p>
      <w:pPr>
        <w:pStyle w:val="ListBullet"/>
      </w:pPr>
      <w:r>
        <w:t>právo na obmedzenie spracúvania</w:t>
      </w:r>
    </w:p>
    <w:p>
      <w:pPr>
        <w:pStyle w:val="ListBullet"/>
      </w:pPr>
      <w:r>
        <w:t>právo na vymazanie údajov, ak je to zákonne možné</w:t>
      </w:r>
    </w:p>
    <w:p>
      <w:pPr>
        <w:pStyle w:val="ListBullet"/>
      </w:pPr>
      <w:r>
        <w:t>právo podať sťažnosť dozornému orgánu</w:t>
      </w:r>
    </w:p>
    <w:p>
      <w:r>
        <w:t>V rámci spracúvania Vašich osobných údajov nie je použité automatizované rozhodovanie ani profilovanie.</w:t>
      </w:r>
    </w:p>
    <w:sectPr w:rsidR="00FC693F" w:rsidRPr="0006063C" w:rsidSect="00034616">
      <w:pgSz w:w="12240" w:h="15840"/>
      <w:pgMar w:top="1152" w:right="1224" w:bottom="1152"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Calibri" w:hAnsi="Calibri"/>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